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F6" w:rsidRPr="00A464E5" w:rsidRDefault="00EF0038" w:rsidP="00EF0038">
      <w:pPr>
        <w:jc w:val="center"/>
        <w:rPr>
          <w:sz w:val="20"/>
          <w:szCs w:val="20"/>
        </w:rPr>
      </w:pPr>
      <w:r w:rsidRPr="00A464E5">
        <w:rPr>
          <w:sz w:val="20"/>
          <w:szCs w:val="20"/>
        </w:rPr>
        <w:t>STEPS IN A MOCK TRIAL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00"/>
        <w:gridCol w:w="5151"/>
      </w:tblGrid>
      <w:tr w:rsidR="00EF0038" w:rsidRPr="00A464E5" w:rsidTr="00EF0038">
        <w:trPr>
          <w:trHeight w:val="425"/>
        </w:trPr>
        <w:tc>
          <w:tcPr>
            <w:tcW w:w="1548" w:type="dxa"/>
          </w:tcPr>
          <w:p w:rsidR="00EF0038" w:rsidRPr="00A464E5" w:rsidRDefault="00EF0038" w:rsidP="00EF0038">
            <w:pPr>
              <w:jc w:val="center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Step</w:t>
            </w:r>
          </w:p>
        </w:tc>
        <w:tc>
          <w:tcPr>
            <w:tcW w:w="3600" w:type="dxa"/>
          </w:tcPr>
          <w:p w:rsidR="00EF0038" w:rsidRPr="00A464E5" w:rsidRDefault="00EF0038" w:rsidP="00EF0038">
            <w:pPr>
              <w:jc w:val="center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Description</w:t>
            </w:r>
          </w:p>
        </w:tc>
        <w:tc>
          <w:tcPr>
            <w:tcW w:w="5151" w:type="dxa"/>
          </w:tcPr>
          <w:p w:rsidR="00EF0038" w:rsidRPr="00A464E5" w:rsidRDefault="00EF0038" w:rsidP="00EF0038">
            <w:pPr>
              <w:jc w:val="center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Keys to Success</w:t>
            </w:r>
          </w:p>
        </w:tc>
      </w:tr>
      <w:tr w:rsidR="00EF0038" w:rsidRPr="00A464E5" w:rsidTr="00BE5099">
        <w:trPr>
          <w:trHeight w:val="1583"/>
        </w:trPr>
        <w:tc>
          <w:tcPr>
            <w:tcW w:w="1548" w:type="dxa"/>
            <w:vAlign w:val="center"/>
          </w:tcPr>
          <w:p w:rsidR="00EF0038" w:rsidRPr="00BE5099" w:rsidRDefault="00EF0038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Team introductions</w:t>
            </w:r>
          </w:p>
        </w:tc>
        <w:tc>
          <w:tcPr>
            <w:tcW w:w="3600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Judge will ask each member to stand and introduce themselves.  The purpose is largely so the evaluators and judges can put names with faces.</w:t>
            </w:r>
          </w:p>
        </w:tc>
        <w:tc>
          <w:tcPr>
            <w:tcW w:w="5151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Speak LOUDLY and CLEARLY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Make eye contact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Get your vocabulary correct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Witnesses respond with “I AM” not with “I will be playing”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Give a good “team” first impression</w:t>
            </w:r>
          </w:p>
        </w:tc>
      </w:tr>
      <w:tr w:rsidR="00EF0038" w:rsidRPr="00A464E5" w:rsidTr="00BE5099">
        <w:trPr>
          <w:trHeight w:val="2042"/>
        </w:trPr>
        <w:tc>
          <w:tcPr>
            <w:tcW w:w="1548" w:type="dxa"/>
            <w:vAlign w:val="center"/>
          </w:tcPr>
          <w:p w:rsidR="00EF0038" w:rsidRPr="00BE5099" w:rsidRDefault="00EF0038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Pre-Trial Motions</w:t>
            </w:r>
          </w:p>
        </w:tc>
        <w:tc>
          <w:tcPr>
            <w:tcW w:w="3600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Lead attorney will get permission to move around the courtroom, find where to place exhibits, and clarify when witnesses will be sworn in.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May also be used to draw attention to a particular rule or stipulation the judge needs to be aware of</w:t>
            </w:r>
          </w:p>
        </w:tc>
        <w:tc>
          <w:tcPr>
            <w:tcW w:w="5151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Knowing exactly what you need to ask for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Eye contact, assertiveness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Being prepared in case the judge asks you to swear in witnesses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Even if the other team goes first, still ask that all the same privileges apply to each team (they always will)</w:t>
            </w:r>
          </w:p>
        </w:tc>
      </w:tr>
      <w:tr w:rsidR="00EF0038" w:rsidRPr="00A464E5" w:rsidTr="00BE5099">
        <w:trPr>
          <w:trHeight w:val="1988"/>
        </w:trPr>
        <w:tc>
          <w:tcPr>
            <w:tcW w:w="1548" w:type="dxa"/>
            <w:vAlign w:val="center"/>
          </w:tcPr>
          <w:p w:rsidR="00EF0038" w:rsidRPr="00BE5099" w:rsidRDefault="00EF0038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“P” side opening statement</w:t>
            </w:r>
          </w:p>
        </w:tc>
        <w:tc>
          <w:tcPr>
            <w:tcW w:w="3600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Opportunity for the “P” side to lay out their case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This essentially explains WHY everyone is in court today</w:t>
            </w:r>
          </w:p>
        </w:tc>
        <w:tc>
          <w:tcPr>
            <w:tcW w:w="5151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Good “attention getter”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Slow, clear speaking pattern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Easy-to-follow theme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Describes law and burden of proof in easy to follow terms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Tells the jury exactly what they will hear today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Witnesses stand when called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Ends by clearly stating the position of the prosecution</w:t>
            </w:r>
          </w:p>
        </w:tc>
      </w:tr>
      <w:tr w:rsidR="00EF0038" w:rsidRPr="00A464E5" w:rsidTr="00BE5099">
        <w:trPr>
          <w:trHeight w:val="825"/>
        </w:trPr>
        <w:tc>
          <w:tcPr>
            <w:tcW w:w="1548" w:type="dxa"/>
            <w:vAlign w:val="center"/>
          </w:tcPr>
          <w:p w:rsidR="00EF0038" w:rsidRPr="00BE5099" w:rsidRDefault="00EF0038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“D” side opening statement</w:t>
            </w:r>
          </w:p>
        </w:tc>
        <w:tc>
          <w:tcPr>
            <w:tcW w:w="3600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Opportunity for the “D” side to lay</w:t>
            </w:r>
            <w:r w:rsidR="00E9496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464E5">
              <w:rPr>
                <w:sz w:val="20"/>
                <w:szCs w:val="20"/>
              </w:rPr>
              <w:t>out why there should be no trial</w:t>
            </w:r>
          </w:p>
        </w:tc>
        <w:tc>
          <w:tcPr>
            <w:tcW w:w="5151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(same as above)</w:t>
            </w:r>
          </w:p>
        </w:tc>
      </w:tr>
      <w:tr w:rsidR="00EF0038" w:rsidRPr="00A464E5" w:rsidTr="00BE5099">
        <w:trPr>
          <w:trHeight w:val="1400"/>
        </w:trPr>
        <w:tc>
          <w:tcPr>
            <w:tcW w:w="1548" w:type="dxa"/>
            <w:vAlign w:val="center"/>
          </w:tcPr>
          <w:p w:rsidR="00EF0038" w:rsidRPr="00BE5099" w:rsidRDefault="00EF0038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“P” side witness direct examination</w:t>
            </w:r>
          </w:p>
        </w:tc>
        <w:tc>
          <w:tcPr>
            <w:tcW w:w="3600" w:type="dxa"/>
            <w:vAlign w:val="center"/>
          </w:tcPr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This is the beginning of the “evidence” of the trial</w:t>
            </w:r>
          </w:p>
          <w:p w:rsidR="00EF0038" w:rsidRPr="00A464E5" w:rsidRDefault="00EF0038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The witness will testify to things that help the “P” side make their case</w:t>
            </w:r>
          </w:p>
          <w:p w:rsidR="00A464E5" w:rsidRPr="00A464E5" w:rsidRDefault="00A464E5" w:rsidP="00EF0038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The witness will testify to things they have seen or heard by answering open-ended questions that tell a story</w:t>
            </w:r>
          </w:p>
        </w:tc>
        <w:tc>
          <w:tcPr>
            <w:tcW w:w="5151" w:type="dxa"/>
            <w:vAlign w:val="center"/>
          </w:tcPr>
          <w:p w:rsidR="00EF0038" w:rsidRPr="00A464E5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Questions are “open-ended”</w:t>
            </w:r>
          </w:p>
          <w:p w:rsidR="00A464E5" w:rsidRPr="00A464E5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The witness is lively, believable, and KNOWS THE STATEMENT!</w:t>
            </w:r>
          </w:p>
          <w:p w:rsidR="00A464E5" w:rsidRPr="00A464E5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Attorney is prepared for and can respond easily to objections</w:t>
            </w:r>
          </w:p>
          <w:p w:rsidR="00A464E5" w:rsidRPr="00A464E5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>(See the 5 “Musts” for more)</w:t>
            </w:r>
          </w:p>
        </w:tc>
      </w:tr>
      <w:tr w:rsidR="00EF0038" w:rsidRPr="00A464E5" w:rsidTr="00BE5099">
        <w:trPr>
          <w:trHeight w:val="300"/>
        </w:trPr>
        <w:tc>
          <w:tcPr>
            <w:tcW w:w="1548" w:type="dxa"/>
            <w:vAlign w:val="center"/>
          </w:tcPr>
          <w:p w:rsidR="00EF0038" w:rsidRPr="00BE5099" w:rsidRDefault="00A464E5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“D” side cross examines witness</w:t>
            </w:r>
          </w:p>
        </w:tc>
        <w:tc>
          <w:tcPr>
            <w:tcW w:w="3600" w:type="dxa"/>
            <w:vAlign w:val="center"/>
          </w:tcPr>
          <w:p w:rsidR="00EF0038" w:rsidRPr="00A464E5" w:rsidRDefault="00A464E5" w:rsidP="00A464E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 w:rsidRPr="00A464E5">
              <w:rPr>
                <w:sz w:val="20"/>
                <w:szCs w:val="20"/>
              </w:rPr>
              <w:t xml:space="preserve">The “D” side gets to ask the “P” witness some questions that make the witness seem less believable </w:t>
            </w:r>
            <w:r>
              <w:rPr>
                <w:sz w:val="20"/>
                <w:szCs w:val="20"/>
              </w:rPr>
              <w:t xml:space="preserve">OR raises concerns with some of the facts brought up from the direct examination </w:t>
            </w:r>
          </w:p>
        </w:tc>
        <w:tc>
          <w:tcPr>
            <w:tcW w:w="5151" w:type="dxa"/>
            <w:vAlign w:val="center"/>
          </w:tcPr>
          <w:p w:rsidR="00EF0038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“closed” or “leading”</w:t>
            </w:r>
          </w:p>
          <w:p w:rsidR="00A464E5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attorney is IN CONTROL of the witness</w:t>
            </w:r>
          </w:p>
          <w:p w:rsidR="00A464E5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Attorney is prepared for and can respond easily to objections</w:t>
            </w:r>
          </w:p>
          <w:p w:rsidR="00A464E5" w:rsidRPr="00A464E5" w:rsidRDefault="00A464E5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the 5 “musts” for more)</w:t>
            </w:r>
          </w:p>
        </w:tc>
      </w:tr>
      <w:tr w:rsidR="00A464E5" w:rsidRPr="00A464E5" w:rsidTr="00BE5099">
        <w:trPr>
          <w:trHeight w:val="275"/>
        </w:trPr>
        <w:tc>
          <w:tcPr>
            <w:tcW w:w="1548" w:type="dxa"/>
            <w:vAlign w:val="center"/>
          </w:tcPr>
          <w:p w:rsidR="00A464E5" w:rsidRPr="00BE5099" w:rsidRDefault="00A464E5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Re-direct/</w:t>
            </w:r>
            <w:proofErr w:type="spellStart"/>
            <w:r w:rsidRPr="00BE5099">
              <w:rPr>
                <w:b/>
                <w:sz w:val="20"/>
                <w:szCs w:val="20"/>
              </w:rPr>
              <w:t>recross</w:t>
            </w:r>
            <w:proofErr w:type="spellEnd"/>
          </w:p>
        </w:tc>
        <w:tc>
          <w:tcPr>
            <w:tcW w:w="3600" w:type="dxa"/>
            <w:vAlign w:val="center"/>
          </w:tcPr>
          <w:p w:rsidR="00A464E5" w:rsidRDefault="00A464E5" w:rsidP="003B28FB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Optional procedures used if something damaging came up on cross </w:t>
            </w:r>
          </w:p>
          <w:p w:rsidR="00A464E5" w:rsidRPr="00A464E5" w:rsidRDefault="00A464E5" w:rsidP="003B28FB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needed and supposed to be short and to the point</w:t>
            </w:r>
          </w:p>
        </w:tc>
        <w:tc>
          <w:tcPr>
            <w:tcW w:w="5151" w:type="dxa"/>
            <w:vAlign w:val="center"/>
          </w:tcPr>
          <w:p w:rsidR="00A464E5" w:rsidRDefault="00A464E5" w:rsidP="003B28FB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 no more than 1-2 questions</w:t>
            </w:r>
          </w:p>
          <w:p w:rsidR="00A464E5" w:rsidRPr="00A464E5" w:rsidRDefault="00A464E5" w:rsidP="003B28FB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on ONE specific part of the cross</w:t>
            </w:r>
          </w:p>
        </w:tc>
      </w:tr>
      <w:tr w:rsidR="00A464E5" w:rsidRPr="00A464E5" w:rsidTr="00BE5099">
        <w:trPr>
          <w:trHeight w:val="275"/>
        </w:trPr>
        <w:tc>
          <w:tcPr>
            <w:tcW w:w="1548" w:type="dxa"/>
            <w:vAlign w:val="center"/>
          </w:tcPr>
          <w:p w:rsidR="00A464E5" w:rsidRPr="00BE5099" w:rsidRDefault="00A464E5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“D” side witness direct examination and “P” side cross</w:t>
            </w:r>
          </w:p>
        </w:tc>
        <w:tc>
          <w:tcPr>
            <w:tcW w:w="3600" w:type="dxa"/>
            <w:vAlign w:val="center"/>
          </w:tcPr>
          <w:p w:rsidR="00A464E5" w:rsidRDefault="00A464E5" w:rsidP="003B28FB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reverse of above.</w:t>
            </w:r>
          </w:p>
          <w:p w:rsidR="00A464E5" w:rsidRPr="00A464E5" w:rsidRDefault="00A464E5" w:rsidP="003B28FB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defense calls their witnesses for directs and the “P” side gets a chance to cross</w:t>
            </w:r>
          </w:p>
        </w:tc>
        <w:tc>
          <w:tcPr>
            <w:tcW w:w="5151" w:type="dxa"/>
            <w:vAlign w:val="center"/>
          </w:tcPr>
          <w:p w:rsidR="00A464E5" w:rsidRPr="00A464E5" w:rsidRDefault="00A464E5" w:rsidP="003B28FB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above</w:t>
            </w:r>
          </w:p>
        </w:tc>
      </w:tr>
      <w:tr w:rsidR="00EF0038" w:rsidRPr="00A464E5" w:rsidTr="00BE5099">
        <w:trPr>
          <w:trHeight w:val="275"/>
        </w:trPr>
        <w:tc>
          <w:tcPr>
            <w:tcW w:w="1548" w:type="dxa"/>
            <w:vAlign w:val="center"/>
          </w:tcPr>
          <w:p w:rsidR="00EF0038" w:rsidRPr="00BE5099" w:rsidRDefault="00A464E5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“P” Side Closing</w:t>
            </w:r>
            <w:r w:rsidR="00BE5099" w:rsidRPr="00BE5099">
              <w:rPr>
                <w:b/>
                <w:sz w:val="20"/>
                <w:szCs w:val="20"/>
              </w:rPr>
              <w:t xml:space="preserve"> argument</w:t>
            </w:r>
          </w:p>
        </w:tc>
        <w:tc>
          <w:tcPr>
            <w:tcW w:w="3600" w:type="dxa"/>
            <w:vAlign w:val="center"/>
          </w:tcPr>
          <w:p w:rsidR="00A464E5" w:rsidRPr="00A464E5" w:rsidRDefault="00A464E5" w:rsidP="00A464E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“P” side gets a chance to begin closing and then save time for rebuttal</w:t>
            </w:r>
          </w:p>
          <w:p w:rsidR="00A464E5" w:rsidRPr="00A464E5" w:rsidRDefault="00BE5099" w:rsidP="00A464E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Differs from opening in that now evidence has been presented so the attorney can make an argument for victory with evidence</w:t>
            </w:r>
          </w:p>
        </w:tc>
        <w:tc>
          <w:tcPr>
            <w:tcW w:w="5151" w:type="dxa"/>
            <w:vAlign w:val="center"/>
          </w:tcPr>
          <w:p w:rsidR="00A464E5" w:rsidRDefault="00BE5099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to opening</w:t>
            </w:r>
          </w:p>
          <w:p w:rsidR="00BE5099" w:rsidRDefault="00BE5099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specific quotes and facts that came up during the </w:t>
            </w:r>
            <w:proofErr w:type="spellStart"/>
            <w:r>
              <w:rPr>
                <w:sz w:val="20"/>
                <w:szCs w:val="20"/>
              </w:rPr>
              <w:t>tria</w:t>
            </w:r>
            <w:proofErr w:type="spellEnd"/>
          </w:p>
          <w:p w:rsidR="00BE5099" w:rsidRDefault="00BE5099" w:rsidP="00EF003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Reinforces the theme/theory of their side</w:t>
            </w:r>
          </w:p>
          <w:p w:rsidR="00BE5099" w:rsidRPr="00A464E5" w:rsidRDefault="00BE5099" w:rsidP="00BE5099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BE5099" w:rsidRPr="00A464E5" w:rsidTr="00BE5099">
        <w:trPr>
          <w:trHeight w:val="275"/>
        </w:trPr>
        <w:tc>
          <w:tcPr>
            <w:tcW w:w="1548" w:type="dxa"/>
            <w:vAlign w:val="center"/>
          </w:tcPr>
          <w:p w:rsidR="00BE5099" w:rsidRPr="00BE5099" w:rsidRDefault="00BE5099" w:rsidP="00BE5099">
            <w:pPr>
              <w:jc w:val="center"/>
              <w:rPr>
                <w:b/>
                <w:sz w:val="20"/>
                <w:szCs w:val="20"/>
              </w:rPr>
            </w:pPr>
            <w:r w:rsidRPr="00BE5099">
              <w:rPr>
                <w:b/>
                <w:sz w:val="20"/>
                <w:szCs w:val="20"/>
              </w:rPr>
              <w:t>“D” side closing argument</w:t>
            </w:r>
          </w:p>
        </w:tc>
        <w:tc>
          <w:tcPr>
            <w:tcW w:w="3600" w:type="dxa"/>
          </w:tcPr>
          <w:p w:rsidR="00BE5099" w:rsidRPr="00A464E5" w:rsidRDefault="00BE5099" w:rsidP="003B28FB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an argument for why the jury should find in favor of the defendant by using SPECIFIC evidence from the trial</w:t>
            </w:r>
          </w:p>
        </w:tc>
        <w:tc>
          <w:tcPr>
            <w:tcW w:w="5151" w:type="dxa"/>
          </w:tcPr>
          <w:p w:rsidR="00BE5099" w:rsidRDefault="00BE5099" w:rsidP="003B28FB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to defense opening</w:t>
            </w:r>
          </w:p>
          <w:p w:rsidR="00BE5099" w:rsidRPr="00A464E5" w:rsidRDefault="00BE5099" w:rsidP="003B28FB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specifics and reinforces theme/theory of the case</w:t>
            </w:r>
          </w:p>
        </w:tc>
      </w:tr>
    </w:tbl>
    <w:p w:rsidR="00EF0038" w:rsidRDefault="00EF0038"/>
    <w:sectPr w:rsidR="00EF0038" w:rsidSect="00BE5099">
      <w:pgSz w:w="12240" w:h="15840"/>
      <w:pgMar w:top="45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1B"/>
    <w:multiLevelType w:val="hybridMultilevel"/>
    <w:tmpl w:val="8956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430"/>
    <w:multiLevelType w:val="hybridMultilevel"/>
    <w:tmpl w:val="DAF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2E2"/>
    <w:multiLevelType w:val="hybridMultilevel"/>
    <w:tmpl w:val="2CF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38"/>
    <w:rsid w:val="00A464E5"/>
    <w:rsid w:val="00AE16F6"/>
    <w:rsid w:val="00BE5099"/>
    <w:rsid w:val="00E9496D"/>
    <w:rsid w:val="00E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2011-10-26T16:15:00Z</dcterms:created>
  <dcterms:modified xsi:type="dcterms:W3CDTF">2011-10-26T16:49:00Z</dcterms:modified>
</cp:coreProperties>
</file>